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72" w:rsidRDefault="00475372" w:rsidP="00475372">
      <w:pPr>
        <w:pStyle w:val="Punkts"/>
        <w:numPr>
          <w:ilvl w:val="0"/>
          <w:numId w:val="0"/>
        </w:numPr>
        <w:jc w:val="right"/>
      </w:pPr>
      <w:bookmarkStart w:id="0" w:name="_Toc200036696"/>
      <w:bookmarkStart w:id="1" w:name="_Toc280105733"/>
      <w:bookmarkStart w:id="2" w:name="_Toc166297194"/>
    </w:p>
    <w:p w:rsidR="00475372" w:rsidRDefault="00475372" w:rsidP="00475372">
      <w:pPr>
        <w:pStyle w:val="Punkts"/>
        <w:numPr>
          <w:ilvl w:val="0"/>
          <w:numId w:val="0"/>
        </w:numPr>
        <w:jc w:val="right"/>
      </w:pPr>
      <w:r>
        <w:t>C1 pielikums: Piedāvājuma pielikums</w:t>
      </w:r>
      <w:bookmarkEnd w:id="0"/>
      <w:bookmarkEnd w:id="1"/>
    </w:p>
    <w:p w:rsidR="00475372" w:rsidRPr="007B390C" w:rsidRDefault="00475372" w:rsidP="00475372">
      <w:pPr>
        <w:pStyle w:val="Apakpunkts"/>
        <w:numPr>
          <w:ilvl w:val="0"/>
          <w:numId w:val="0"/>
        </w:numPr>
      </w:pPr>
    </w:p>
    <w:p w:rsidR="00475372" w:rsidRPr="00596C70" w:rsidRDefault="00475372" w:rsidP="00475372">
      <w:pPr>
        <w:pStyle w:val="nDaa"/>
        <w:ind w:left="-540"/>
        <w:rPr>
          <w:szCs w:val="20"/>
        </w:rPr>
      </w:pPr>
      <w:r w:rsidRPr="00596C70">
        <w:rPr>
          <w:szCs w:val="20"/>
        </w:rPr>
        <w:t>PIEDĀVĀJUMA PIELIKUMS</w:t>
      </w:r>
      <w:bookmarkEnd w:id="2"/>
    </w:p>
    <w:p w:rsidR="00475372" w:rsidRPr="00596C70" w:rsidRDefault="00475372" w:rsidP="00475372">
      <w:pPr>
        <w:keepNext/>
        <w:keepLines/>
        <w:tabs>
          <w:tab w:val="right" w:pos="9936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40" w:type="dxa"/>
        <w:tblInd w:w="-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488"/>
        <w:gridCol w:w="3132"/>
      </w:tblGrid>
      <w:tr w:rsidR="00475372" w:rsidRPr="00596C70" w:rsidTr="00DC2A05">
        <w:tc>
          <w:tcPr>
            <w:tcW w:w="3020" w:type="dxa"/>
            <w:vAlign w:val="center"/>
          </w:tcPr>
          <w:p w:rsidR="00475372" w:rsidRPr="00596C70" w:rsidRDefault="00475372" w:rsidP="00DC2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70">
              <w:rPr>
                <w:rFonts w:ascii="Arial" w:hAnsi="Arial" w:cs="Arial"/>
                <w:b/>
                <w:sz w:val="20"/>
                <w:szCs w:val="20"/>
              </w:rPr>
              <w:t>Pozīcija</w:t>
            </w:r>
          </w:p>
        </w:tc>
        <w:tc>
          <w:tcPr>
            <w:tcW w:w="2488" w:type="dxa"/>
            <w:vAlign w:val="center"/>
          </w:tcPr>
          <w:p w:rsidR="00475372" w:rsidRPr="00596C70" w:rsidRDefault="00475372" w:rsidP="00DC2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596C70">
                <w:rPr>
                  <w:rFonts w:ascii="Arial" w:hAnsi="Arial" w:cs="Arial"/>
                  <w:b/>
                  <w:sz w:val="20"/>
                  <w:szCs w:val="20"/>
                </w:rPr>
                <w:t>Līguma</w:t>
              </w:r>
            </w:smartTag>
            <w:r w:rsidRPr="00596C70">
              <w:rPr>
                <w:rFonts w:ascii="Arial" w:hAnsi="Arial" w:cs="Arial"/>
                <w:b/>
                <w:sz w:val="20"/>
                <w:szCs w:val="20"/>
              </w:rPr>
              <w:t xml:space="preserve"> noteikumu apakšpunkts</w:t>
            </w:r>
          </w:p>
        </w:tc>
        <w:tc>
          <w:tcPr>
            <w:tcW w:w="3132" w:type="dxa"/>
            <w:vAlign w:val="center"/>
          </w:tcPr>
          <w:p w:rsidR="00475372" w:rsidRPr="00596C70" w:rsidRDefault="00475372" w:rsidP="00DC2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70">
              <w:rPr>
                <w:rFonts w:ascii="Arial" w:hAnsi="Arial" w:cs="Arial"/>
                <w:b/>
                <w:sz w:val="20"/>
                <w:szCs w:val="20"/>
              </w:rPr>
              <w:t>Dati</w:t>
            </w:r>
          </w:p>
        </w:tc>
      </w:tr>
      <w:tr w:rsidR="00475372" w:rsidRPr="00C1354A" w:rsidTr="00DC2A05">
        <w:trPr>
          <w:trHeight w:val="255"/>
        </w:trPr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Pasūtītāja nosaukums un adrese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1.1.2.2. &amp; 1.3.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tabs>
                <w:tab w:val="left" w:pos="399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56736">
              <w:rPr>
                <w:rFonts w:ascii="Arial" w:hAnsi="Arial" w:cs="Arial"/>
                <w:sz w:val="20"/>
                <w:szCs w:val="20"/>
              </w:rPr>
              <w:t>SIA „JELGAVAS ŪDENS” (reģ.Nr.41703001321)</w:t>
            </w:r>
          </w:p>
        </w:tc>
      </w:tr>
      <w:tr w:rsidR="00475372" w:rsidRPr="00C1354A" w:rsidTr="00DC2A05">
        <w:trPr>
          <w:trHeight w:val="255"/>
        </w:trPr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Uzņēmēja nosaukums un adrese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1.1.2.3. &amp; 1.3.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  <w:highlight w:val="lightGray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Uzņēmēja nosaukums un reģistrācijas numurs</w:t>
            </w:r>
            <w:r w:rsidRPr="00C1354A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Inženiera nosaukums un adrese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1.1.2.4. &amp; 1.3.</w:t>
            </w:r>
          </w:p>
        </w:tc>
        <w:tc>
          <w:tcPr>
            <w:tcW w:w="3132" w:type="dxa"/>
            <w:vAlign w:val="center"/>
          </w:tcPr>
          <w:p w:rsidR="00475372" w:rsidRPr="001B0C78" w:rsidRDefault="00475372" w:rsidP="00DC2A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1409">
              <w:rPr>
                <w:rFonts w:ascii="Arial" w:hAnsi="Arial" w:cs="Arial"/>
                <w:sz w:val="20"/>
                <w:szCs w:val="20"/>
              </w:rPr>
              <w:t>Inženieris tiks nominēts pirms Darbu uzsākšanas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Darbu izpildes laiks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1.1.3.3.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 xml:space="preserve">līdz </w:t>
            </w:r>
            <w:proofErr w:type="gramStart"/>
            <w:r w:rsidRPr="00C20F84">
              <w:rPr>
                <w:rFonts w:ascii="Arial" w:hAnsi="Arial" w:cs="Arial"/>
                <w:sz w:val="20"/>
                <w:szCs w:val="20"/>
              </w:rPr>
              <w:t>2015.gada</w:t>
            </w:r>
            <w:proofErr w:type="gramEnd"/>
            <w:r w:rsidRPr="00C20F84">
              <w:rPr>
                <w:rFonts w:ascii="Arial" w:hAnsi="Arial" w:cs="Arial"/>
                <w:sz w:val="20"/>
                <w:szCs w:val="20"/>
              </w:rPr>
              <w:t xml:space="preserve"> 01.novembrim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Defektu paziņošanas periods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1.1.3.7.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C1354A">
              <w:rPr>
                <w:rFonts w:ascii="Arial" w:hAnsi="Arial" w:cs="Arial"/>
                <w:sz w:val="20"/>
                <w:szCs w:val="20"/>
              </w:rPr>
              <w:t>kalendārie mēneši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Elektroniskās sakaru sistēmas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C1354A">
                <w:rPr>
                  <w:rFonts w:ascii="Arial" w:hAnsi="Arial" w:cs="Arial"/>
                  <w:sz w:val="20"/>
                  <w:szCs w:val="20"/>
                </w:rPr>
                <w:t>Fakss</w:t>
              </w:r>
            </w:smartTag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Piemērojamās tiesību normas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 xml:space="preserve">Latvijas Republikas normatīvie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"/>
              </w:smartTagPr>
              <w:r w:rsidRPr="00C1354A">
                <w:rPr>
                  <w:rFonts w:ascii="Arial" w:hAnsi="Arial" w:cs="Arial"/>
                  <w:sz w:val="20"/>
                  <w:szCs w:val="20"/>
                </w:rPr>
                <w:t>akti</w:t>
              </w:r>
            </w:smartTag>
          </w:p>
        </w:tc>
      </w:tr>
      <w:tr w:rsidR="00475372" w:rsidRPr="00C1354A" w:rsidTr="00DC2A05">
        <w:tc>
          <w:tcPr>
            <w:tcW w:w="3020" w:type="dxa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Valdošā valoda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Latviešu</w:t>
            </w:r>
          </w:p>
        </w:tc>
      </w:tr>
      <w:tr w:rsidR="00475372" w:rsidRPr="00C1354A" w:rsidTr="00DC2A05">
        <w:tc>
          <w:tcPr>
            <w:tcW w:w="3020" w:type="dxa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Komunikācijas valoda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Latviešu</w:t>
            </w:r>
          </w:p>
        </w:tc>
      </w:tr>
      <w:tr w:rsidR="00475372" w:rsidRPr="00C1354A" w:rsidTr="00DC2A05">
        <w:tc>
          <w:tcPr>
            <w:tcW w:w="3020" w:type="dxa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Darbu izpildes vietas pieejamības laiks</w:t>
            </w:r>
          </w:p>
        </w:tc>
        <w:tc>
          <w:tcPr>
            <w:tcW w:w="2488" w:type="dxa"/>
            <w:vAlign w:val="center"/>
          </w:tcPr>
          <w:p w:rsidR="00475372" w:rsidRPr="00A31B93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B9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132" w:type="dxa"/>
            <w:vAlign w:val="center"/>
          </w:tcPr>
          <w:p w:rsidR="00475372" w:rsidRPr="00A31B93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A31B93">
              <w:rPr>
                <w:rFonts w:ascii="Arial" w:hAnsi="Arial" w:cs="Arial"/>
                <w:sz w:val="20"/>
                <w:szCs w:val="20"/>
              </w:rPr>
              <w:t>No Darbu uzsākšanas datuma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1354A">
                <w:rPr>
                  <w:rFonts w:ascii="Arial" w:hAnsi="Arial" w:cs="Arial"/>
                  <w:sz w:val="20"/>
                  <w:szCs w:val="20"/>
                </w:rPr>
                <w:t>Līguma</w:t>
              </w:r>
            </w:smartTag>
            <w:r w:rsidRPr="00C1354A">
              <w:rPr>
                <w:rFonts w:ascii="Arial" w:hAnsi="Arial" w:cs="Arial"/>
                <w:sz w:val="20"/>
                <w:szCs w:val="20"/>
              </w:rPr>
              <w:t xml:space="preserve"> izpildes nodrošinājums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 xml:space="preserve">20% apmērā no Akceptētās </w:t>
            </w: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C20F84">
                <w:rPr>
                  <w:rFonts w:ascii="Arial" w:hAnsi="Arial" w:cs="Arial"/>
                  <w:sz w:val="20"/>
                  <w:szCs w:val="20"/>
                </w:rPr>
                <w:t>Līguma</w:t>
              </w:r>
            </w:smartTag>
            <w:r w:rsidRPr="00C20F84">
              <w:rPr>
                <w:rFonts w:ascii="Arial" w:hAnsi="Arial" w:cs="Arial"/>
                <w:sz w:val="20"/>
                <w:szCs w:val="20"/>
              </w:rPr>
              <w:t xml:space="preserve"> summas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Normālās darba stundas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500B2">
              <w:rPr>
                <w:rFonts w:ascii="Arial" w:hAnsi="Arial" w:cs="Arial"/>
                <w:sz w:val="20"/>
                <w:szCs w:val="20"/>
              </w:rPr>
              <w:t>No pirmdienas līdz piektdienai no plkst.08.30 -17.00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Līgumsods par programmas neiesniegšanu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132" w:type="dxa"/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>150 EUR dienā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Darbu izpildes nokavējuma līgumsods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Pr="00C1354A">
              <w:rPr>
                <w:rFonts w:ascii="Arial" w:hAnsi="Arial" w:cs="Arial"/>
                <w:sz w:val="20"/>
                <w:szCs w:val="20"/>
              </w:rPr>
              <w:t xml:space="preserve">% no Akceptētās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1354A">
                <w:rPr>
                  <w:rFonts w:ascii="Arial" w:hAnsi="Arial" w:cs="Arial"/>
                  <w:sz w:val="20"/>
                  <w:szCs w:val="20"/>
                </w:rPr>
                <w:t>Līguma</w:t>
              </w:r>
            </w:smartTag>
            <w:r w:rsidRPr="00C1354A">
              <w:rPr>
                <w:rFonts w:ascii="Arial" w:hAnsi="Arial" w:cs="Arial"/>
                <w:sz w:val="20"/>
                <w:szCs w:val="20"/>
              </w:rPr>
              <w:t xml:space="preserve"> summas par katru nokavēto dienu valūtā, kādā ir maksājama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1354A">
                <w:rPr>
                  <w:rFonts w:ascii="Arial" w:hAnsi="Arial" w:cs="Arial"/>
                  <w:sz w:val="20"/>
                  <w:szCs w:val="20"/>
                </w:rPr>
                <w:t>Līguma</w:t>
              </w:r>
            </w:smartTag>
            <w:r w:rsidRPr="00C1354A">
              <w:rPr>
                <w:rFonts w:ascii="Arial" w:hAnsi="Arial" w:cs="Arial"/>
                <w:sz w:val="20"/>
                <w:szCs w:val="20"/>
              </w:rPr>
              <w:t xml:space="preserve"> cena 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Maksimālā Darbu izpildes nokavējuma līgumsoda summa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475372" w:rsidRPr="00B63CDC" w:rsidRDefault="00475372" w:rsidP="00DC2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 xml:space="preserve">10% no Akceptētās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20F84">
                <w:rPr>
                  <w:rFonts w:ascii="Arial" w:hAnsi="Arial" w:cs="Arial"/>
                  <w:sz w:val="20"/>
                  <w:szCs w:val="20"/>
                </w:rPr>
                <w:t>Līguma</w:t>
              </w:r>
            </w:smartTag>
            <w:r w:rsidRPr="00C20F84">
              <w:rPr>
                <w:rFonts w:ascii="Arial" w:hAnsi="Arial" w:cs="Arial"/>
                <w:sz w:val="20"/>
                <w:szCs w:val="20"/>
              </w:rPr>
              <w:t xml:space="preserve"> summas 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Kopējais avansa maksājums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3132" w:type="dxa"/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>20% apmērā no Līguma summas bez PVN</w:t>
            </w:r>
            <w:r w:rsidRPr="00C20F84">
              <w:rPr>
                <w:rStyle w:val="FootnoteReference"/>
                <w:rFonts w:cs="Arial"/>
                <w:szCs w:val="20"/>
              </w:rPr>
              <w:footnoteReference w:id="1"/>
            </w:r>
            <w:r w:rsidRPr="00C20F84">
              <w:rPr>
                <w:rFonts w:ascii="Arial" w:hAnsi="Arial" w:cs="Arial"/>
                <w:sz w:val="20"/>
                <w:szCs w:val="20"/>
              </w:rPr>
              <w:t>/ &lt; - &gt;</w:t>
            </w:r>
            <w:r w:rsidRPr="00C20F84">
              <w:rPr>
                <w:rStyle w:val="FootnoteReference"/>
                <w:rFonts w:cs="Arial"/>
                <w:szCs w:val="20"/>
              </w:rPr>
              <w:footnoteReference w:id="2"/>
            </w:r>
            <w:r w:rsidRPr="00C20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72" w:rsidRPr="00C1354A" w:rsidTr="00DC2A05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Maksājumu skaits un termiņi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>viens maksājums</w:t>
            </w:r>
            <w:r w:rsidRPr="00C20F84">
              <w:rPr>
                <w:rFonts w:ascii="Arial" w:hAnsi="Arial" w:cs="Arial"/>
                <w:sz w:val="20"/>
                <w:szCs w:val="20"/>
                <w:vertAlign w:val="superscript"/>
              </w:rPr>
              <w:t>33</w:t>
            </w:r>
            <w:r w:rsidRPr="00C20F84">
              <w:rPr>
                <w:rFonts w:ascii="Arial" w:hAnsi="Arial" w:cs="Arial"/>
                <w:sz w:val="20"/>
                <w:szCs w:val="20"/>
              </w:rPr>
              <w:t>/ &lt; – &gt;</w:t>
            </w:r>
            <w:r w:rsidRPr="00C20F84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</w:p>
        </w:tc>
      </w:tr>
      <w:tr w:rsidR="00475372" w:rsidRPr="00C1354A" w:rsidTr="00DC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20" w:type="dxa"/>
            <w:tcBorders>
              <w:left w:val="nil"/>
              <w:right w:val="nil"/>
            </w:tcBorders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Avansa maksājuma atmaksas amortizācija</w:t>
            </w:r>
          </w:p>
        </w:tc>
        <w:tc>
          <w:tcPr>
            <w:tcW w:w="2488" w:type="dxa"/>
            <w:tcBorders>
              <w:left w:val="nil"/>
              <w:right w:val="nil"/>
            </w:tcBorders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14.2.(b)</w:t>
            </w:r>
          </w:p>
        </w:tc>
        <w:tc>
          <w:tcPr>
            <w:tcW w:w="3132" w:type="dxa"/>
            <w:tcBorders>
              <w:left w:val="nil"/>
              <w:right w:val="nil"/>
            </w:tcBorders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>20%</w:t>
            </w:r>
            <w:r w:rsidRPr="00C20F84">
              <w:rPr>
                <w:rFonts w:ascii="Arial" w:hAnsi="Arial" w:cs="Arial"/>
                <w:sz w:val="20"/>
                <w:szCs w:val="20"/>
                <w:vertAlign w:val="superscript"/>
              </w:rPr>
              <w:t>33</w:t>
            </w:r>
            <w:r w:rsidRPr="00C20F84">
              <w:rPr>
                <w:rFonts w:ascii="Arial" w:hAnsi="Arial" w:cs="Arial"/>
                <w:sz w:val="20"/>
                <w:szCs w:val="20"/>
              </w:rPr>
              <w:t>/ &lt; – &gt;</w:t>
            </w:r>
            <w:r w:rsidRPr="00C20F84"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Ieturējuma procenti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3132" w:type="dxa"/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Ieturējuma naudas summas limits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3132" w:type="dxa"/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 xml:space="preserve">10% no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20F84">
                <w:rPr>
                  <w:rFonts w:ascii="Arial" w:hAnsi="Arial" w:cs="Arial"/>
                  <w:sz w:val="20"/>
                  <w:szCs w:val="20"/>
                </w:rPr>
                <w:t>Līguma</w:t>
              </w:r>
            </w:smartTag>
            <w:r w:rsidRPr="00C20F84">
              <w:rPr>
                <w:rFonts w:ascii="Arial" w:hAnsi="Arial" w:cs="Arial"/>
                <w:sz w:val="20"/>
                <w:szCs w:val="20"/>
              </w:rPr>
              <w:t xml:space="preserve"> summas bez PVN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 xml:space="preserve">Minimālā Starpmaksājuma apstiprinājuma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ā"/>
              </w:smartTagPr>
              <w:r w:rsidRPr="00C1354A">
                <w:rPr>
                  <w:rFonts w:ascii="Arial" w:hAnsi="Arial" w:cs="Arial"/>
                  <w:sz w:val="20"/>
                  <w:szCs w:val="20"/>
                </w:rPr>
                <w:t>aktā</w:t>
              </w:r>
            </w:smartTag>
            <w:r w:rsidRPr="00C1354A">
              <w:rPr>
                <w:rFonts w:ascii="Arial" w:hAnsi="Arial" w:cs="Arial"/>
                <w:sz w:val="20"/>
                <w:szCs w:val="20"/>
              </w:rPr>
              <w:t xml:space="preserve"> iekļaujamā summa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3132" w:type="dxa"/>
            <w:vAlign w:val="center"/>
          </w:tcPr>
          <w:p w:rsidR="00475372" w:rsidRPr="00C20F84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C20F84">
              <w:rPr>
                <w:rFonts w:ascii="Arial" w:hAnsi="Arial" w:cs="Arial"/>
                <w:sz w:val="20"/>
                <w:szCs w:val="20"/>
              </w:rPr>
              <w:t xml:space="preserve">70 000 </w:t>
            </w:r>
            <w:proofErr w:type="spellStart"/>
            <w:r w:rsidRPr="00C20F84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C20F84">
              <w:rPr>
                <w:rFonts w:ascii="Arial" w:hAnsi="Arial" w:cs="Arial"/>
                <w:sz w:val="20"/>
                <w:szCs w:val="20"/>
              </w:rPr>
              <w:t xml:space="preserve"> vai 2% no Akceptētās Līguma summas – atkarībā, kura no divām summām ir lielāka 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Līgumsods par samaksas nokavējumu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3132" w:type="dxa"/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Pr="00C1354A">
              <w:rPr>
                <w:rFonts w:ascii="Arial" w:hAnsi="Arial" w:cs="Arial"/>
                <w:sz w:val="20"/>
                <w:szCs w:val="20"/>
              </w:rPr>
              <w:t>% no</w:t>
            </w:r>
            <w:r>
              <w:rPr>
                <w:rFonts w:ascii="Arial" w:hAnsi="Arial" w:cs="Arial"/>
                <w:sz w:val="20"/>
                <w:szCs w:val="20"/>
              </w:rPr>
              <w:t xml:space="preserve"> nokavētā maksājuma summa par katru kavējuma dienu, bet ne vairāk kā </w:t>
            </w:r>
            <w:r w:rsidRPr="004C643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% no Akceptētās līguma summas</w:t>
            </w:r>
          </w:p>
        </w:tc>
      </w:tr>
      <w:tr w:rsidR="00475372" w:rsidRPr="00C1354A" w:rsidTr="00DC2A05">
        <w:tc>
          <w:tcPr>
            <w:tcW w:w="3020" w:type="dxa"/>
            <w:vAlign w:val="center"/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lastRenderedPageBreak/>
              <w:t>Maksājumu valūtas</w:t>
            </w:r>
          </w:p>
        </w:tc>
        <w:tc>
          <w:tcPr>
            <w:tcW w:w="2488" w:type="dxa"/>
            <w:vAlign w:val="center"/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14.15.</w:t>
            </w:r>
          </w:p>
        </w:tc>
        <w:tc>
          <w:tcPr>
            <w:tcW w:w="3132" w:type="dxa"/>
            <w:vAlign w:val="center"/>
          </w:tcPr>
          <w:p w:rsidR="00475372" w:rsidRPr="004C643D" w:rsidRDefault="00475372" w:rsidP="00DC2A05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3C26B4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3C26B4">
              <w:rPr>
                <w:rFonts w:ascii="Arial" w:hAnsi="Arial" w:cs="Arial"/>
                <w:sz w:val="20"/>
                <w:szCs w:val="20"/>
              </w:rPr>
              <w:t xml:space="preserve"> (EUR)</w:t>
            </w:r>
          </w:p>
        </w:tc>
      </w:tr>
      <w:tr w:rsidR="00475372" w:rsidRPr="00C1354A" w:rsidTr="00DC2A05">
        <w:trPr>
          <w:trHeight w:val="509"/>
        </w:trPr>
        <w:tc>
          <w:tcPr>
            <w:tcW w:w="3020" w:type="dxa"/>
            <w:tcBorders>
              <w:bottom w:val="nil"/>
            </w:tcBorders>
          </w:tcPr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Uzņēmēja civiltiesiskās atbildības apdrošināšanas:</w:t>
            </w:r>
          </w:p>
        </w:tc>
        <w:tc>
          <w:tcPr>
            <w:tcW w:w="2488" w:type="dxa"/>
            <w:tcBorders>
              <w:bottom w:val="nil"/>
            </w:tcBorders>
          </w:tcPr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54A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35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5372" w:rsidRPr="00C1354A" w:rsidRDefault="00475372" w:rsidP="00DC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72" w:rsidRPr="00C1354A" w:rsidTr="00DC2A05">
        <w:tc>
          <w:tcPr>
            <w:tcW w:w="3020" w:type="dxa"/>
            <w:tcBorders>
              <w:top w:val="nil"/>
              <w:bottom w:val="nil"/>
            </w:tcBorders>
          </w:tcPr>
          <w:p w:rsidR="00475372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apjoms (minimālais atbildības limits)</w:t>
            </w:r>
          </w:p>
          <w:p w:rsidR="00475372" w:rsidRPr="00C1354A" w:rsidRDefault="00475372" w:rsidP="00DC2A0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475372" w:rsidRPr="00C1354A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</w:tcPr>
          <w:p w:rsidR="00475372" w:rsidRPr="009E21A7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9E21A7">
              <w:rPr>
                <w:rFonts w:ascii="Arial" w:hAnsi="Arial" w:cs="Arial"/>
                <w:sz w:val="20"/>
                <w:szCs w:val="20"/>
              </w:rPr>
              <w:t>10% no Akceptētās līguma summas Darbu izpildes laikā līdz Darbu pieņemšanai,</w:t>
            </w:r>
          </w:p>
          <w:p w:rsidR="00475372" w:rsidRPr="009E21A7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9E21A7">
              <w:rPr>
                <w:rFonts w:ascii="Arial" w:hAnsi="Arial" w:cs="Arial"/>
                <w:sz w:val="20"/>
                <w:szCs w:val="20"/>
              </w:rPr>
              <w:t>5% no Akceptētās līguma summas Defektu paziņošanas perioda laikā</w:t>
            </w:r>
          </w:p>
        </w:tc>
      </w:tr>
      <w:tr w:rsidR="00475372" w:rsidRPr="00C1354A" w:rsidTr="00DC2A05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475372" w:rsidRPr="00C1354A" w:rsidRDefault="00475372" w:rsidP="00DC2A05">
            <w:pPr>
              <w:keepNext/>
              <w:keepLines/>
              <w:widowControl w:val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Uzņēmēja civiltiesiskās atbildības apdrošināšanas polise un Uzņēmēja apliecināta apdrošināšanas līguma un dokumenta, kas apliecina apdrošināšanas prēmijas samaksu, kopijas iesniegšanas termiņš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475372" w:rsidRPr="00C1354A" w:rsidRDefault="00475372" w:rsidP="00DC2A05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5372" w:rsidRPr="009E21A7" w:rsidRDefault="00475372" w:rsidP="00DC2A05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637F2">
              <w:rPr>
                <w:rStyle w:val="FootnoteReference"/>
                <w:rFonts w:cs="Arial"/>
                <w:szCs w:val="20"/>
              </w:rPr>
              <w:footnoteReference w:id="3"/>
            </w:r>
            <w:r w:rsidRPr="00B63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1A7">
              <w:rPr>
                <w:rFonts w:ascii="Arial" w:hAnsi="Arial" w:cs="Arial"/>
                <w:sz w:val="20"/>
                <w:szCs w:val="20"/>
              </w:rPr>
              <w:t xml:space="preserve">dienu laikā no Līguma spēkā stāšanās dienas </w:t>
            </w:r>
          </w:p>
        </w:tc>
      </w:tr>
    </w:tbl>
    <w:p w:rsidR="00475372" w:rsidRPr="00596C70" w:rsidRDefault="00475372" w:rsidP="00475372">
      <w:pPr>
        <w:pStyle w:val="nDaa"/>
        <w:rPr>
          <w:szCs w:val="20"/>
        </w:rPr>
      </w:pPr>
    </w:p>
    <w:p w:rsidR="00475372" w:rsidRPr="00596C70" w:rsidRDefault="00475372" w:rsidP="00475372">
      <w:pPr>
        <w:pStyle w:val="nDaa"/>
        <w:rPr>
          <w:szCs w:val="20"/>
        </w:rPr>
      </w:pPr>
    </w:p>
    <w:tbl>
      <w:tblPr>
        <w:tblW w:w="37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="00475372" w:rsidRPr="00596C70" w:rsidTr="00DC2A05">
        <w:tc>
          <w:tcPr>
            <w:tcW w:w="3780" w:type="dxa"/>
          </w:tcPr>
          <w:p w:rsidR="00475372" w:rsidRPr="00596C70" w:rsidRDefault="00475372" w:rsidP="00DC2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C70">
              <w:rPr>
                <w:rFonts w:ascii="Arial" w:hAnsi="Arial" w:cs="Arial"/>
                <w:b/>
                <w:sz w:val="20"/>
                <w:szCs w:val="20"/>
              </w:rPr>
              <w:t>Uzņēmējs:</w:t>
            </w:r>
          </w:p>
        </w:tc>
      </w:tr>
      <w:tr w:rsidR="00475372" w:rsidRPr="00596C70" w:rsidTr="00DC2A05">
        <w:tc>
          <w:tcPr>
            <w:tcW w:w="3780" w:type="dxa"/>
          </w:tcPr>
          <w:p w:rsidR="00475372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7B390C">
              <w:rPr>
                <w:rFonts w:ascii="Arial" w:hAnsi="Arial" w:cs="Arial"/>
                <w:sz w:val="20"/>
                <w:szCs w:val="20"/>
                <w:highlight w:val="lightGray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Uzņēmēja </w:t>
            </w:r>
            <w:r w:rsidRPr="00F00F1F">
              <w:rPr>
                <w:rFonts w:ascii="Arial" w:hAnsi="Arial" w:cs="Arial"/>
                <w:sz w:val="20"/>
                <w:szCs w:val="20"/>
                <w:highlight w:val="lightGray"/>
              </w:rPr>
              <w:t>nosaukums&gt;</w:t>
            </w:r>
          </w:p>
          <w:p w:rsidR="00475372" w:rsidRPr="00596C70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7B390C">
              <w:rPr>
                <w:rFonts w:ascii="Arial" w:hAnsi="Arial" w:cs="Arial"/>
                <w:sz w:val="20"/>
                <w:szCs w:val="20"/>
                <w:highlight w:val="lightGray"/>
              </w:rPr>
              <w:t>&lt;paraksta tiesīgās personas amats, vārds un uzvārds&gt;</w:t>
            </w:r>
          </w:p>
        </w:tc>
      </w:tr>
      <w:tr w:rsidR="00475372" w:rsidRPr="00596C70" w:rsidTr="00DC2A05">
        <w:tc>
          <w:tcPr>
            <w:tcW w:w="3780" w:type="dxa"/>
          </w:tcPr>
          <w:p w:rsidR="00475372" w:rsidRPr="00596C70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372" w:rsidRPr="00596C70" w:rsidRDefault="00475372" w:rsidP="00DC2A05">
            <w:pPr>
              <w:rPr>
                <w:rFonts w:ascii="Arial" w:hAnsi="Arial" w:cs="Arial"/>
                <w:sz w:val="20"/>
                <w:szCs w:val="20"/>
              </w:rPr>
            </w:pPr>
            <w:r w:rsidRPr="00596C70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Pr="00596C70">
              <w:rPr>
                <w:rFonts w:ascii="Arial" w:hAnsi="Arial" w:cs="Arial"/>
                <w:sz w:val="20"/>
                <w:szCs w:val="20"/>
              </w:rPr>
              <w:br/>
              <w:t>Parakstīšanas vieta un datums</w:t>
            </w:r>
          </w:p>
        </w:tc>
      </w:tr>
    </w:tbl>
    <w:p w:rsidR="008D6BEA" w:rsidRDefault="00475372">
      <w:bookmarkStart w:id="3" w:name="_GoBack"/>
      <w:bookmarkEnd w:id="3"/>
      <w:r w:rsidRPr="00596C70">
        <w:rPr>
          <w:szCs w:val="20"/>
        </w:rPr>
        <w:br w:type="page"/>
      </w:r>
    </w:p>
    <w:sectPr w:rsidR="008D6BE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72" w:rsidRDefault="00475372" w:rsidP="00475372">
      <w:r>
        <w:separator/>
      </w:r>
    </w:p>
  </w:endnote>
  <w:endnote w:type="continuationSeparator" w:id="0">
    <w:p w:rsidR="00475372" w:rsidRDefault="00475372" w:rsidP="0047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72" w:rsidRDefault="00475372" w:rsidP="00475372">
      <w:r>
        <w:separator/>
      </w:r>
    </w:p>
  </w:footnote>
  <w:footnote w:type="continuationSeparator" w:id="0">
    <w:p w:rsidR="00475372" w:rsidRDefault="00475372" w:rsidP="00475372">
      <w:r>
        <w:continuationSeparator/>
      </w:r>
    </w:p>
  </w:footnote>
  <w:footnote w:id="1">
    <w:p w:rsidR="00475372" w:rsidRPr="007A3FC8" w:rsidRDefault="00475372" w:rsidP="00475372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 w:rsidRPr="007A3FC8">
        <w:rPr>
          <w:rStyle w:val="FootnoteReference"/>
          <w:rFonts w:cs="Arial"/>
          <w:sz w:val="16"/>
          <w:szCs w:val="16"/>
        </w:rPr>
        <w:footnoteRef/>
      </w:r>
      <w:r w:rsidRPr="007A3FC8">
        <w:rPr>
          <w:rFonts w:ascii="Arial" w:hAnsi="Arial" w:cs="Arial"/>
          <w:b/>
          <w:sz w:val="16"/>
          <w:szCs w:val="16"/>
        </w:rPr>
        <w:t xml:space="preserve"> Ja pretendents paredz saņemt Avansa maksājumu. Šādā gadījumā pretendents līguma izpildes laikā nav tiesīgs atteikties no Avansa maksājuma.</w:t>
      </w:r>
    </w:p>
  </w:footnote>
  <w:footnote w:id="2">
    <w:p w:rsidR="00475372" w:rsidRPr="00CA74D6" w:rsidRDefault="00475372" w:rsidP="00475372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 w:rsidRPr="007A3FC8">
        <w:rPr>
          <w:rStyle w:val="FootnoteReference"/>
          <w:rFonts w:cs="Arial"/>
          <w:sz w:val="16"/>
          <w:szCs w:val="16"/>
        </w:rPr>
        <w:footnoteRef/>
      </w:r>
      <w:r w:rsidRPr="007A3FC8">
        <w:rPr>
          <w:rFonts w:ascii="Arial" w:hAnsi="Arial" w:cs="Arial"/>
          <w:b/>
          <w:sz w:val="16"/>
          <w:szCs w:val="16"/>
        </w:rPr>
        <w:t xml:space="preserve"> Ja pretendents neparedz saņemt Avansa maksājumu.</w:t>
      </w:r>
      <w:r w:rsidRPr="00CA74D6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3">
    <w:p w:rsidR="00475372" w:rsidRPr="00B637F2" w:rsidRDefault="00475372" w:rsidP="00475372">
      <w:pPr>
        <w:pStyle w:val="Atsauce"/>
        <w:jc w:val="both"/>
      </w:pPr>
      <w:r w:rsidRPr="00B637F2">
        <w:rPr>
          <w:rStyle w:val="FootnoteReference"/>
        </w:rPr>
        <w:footnoteRef/>
      </w:r>
      <w:r w:rsidRPr="00B637F2">
        <w:t xml:space="preserve"> Uzņēmēja civiltiesiskās atbildības apdrošināšanas polise un Uzņēmēja apliecināta apdrošināšanas līguma un dokumenta, kas apliecina apdrošināšanas prēmijas samaksu, kopija jāiesniedz līdz Darbu uzsākšanai (Ministru kabineta </w:t>
      </w:r>
      <w:proofErr w:type="gramStart"/>
      <w:r w:rsidRPr="00B637F2">
        <w:t>2014.gada</w:t>
      </w:r>
      <w:proofErr w:type="gramEnd"/>
      <w:r w:rsidRPr="00B637F2">
        <w:t xml:space="preserve"> 19.augusta noteikumu Nr.502 „Noteikumi par </w:t>
      </w:r>
      <w:proofErr w:type="spellStart"/>
      <w:r w:rsidRPr="00B637F2">
        <w:t>būvspeciālistu</w:t>
      </w:r>
      <w:proofErr w:type="spellEnd"/>
      <w:r w:rsidRPr="00B637F2">
        <w:t xml:space="preserve"> un būvdarbu veicēju civiltiesiskās atbildības obligāto apdrošināšanu” 49.punkts: Būvniecības ierosinātājs pirms būvdarbu uzsākšanas iesniedz būvatļaujas izdevējam apdrošinātāja izsniegtās to </w:t>
      </w:r>
      <w:proofErr w:type="spellStart"/>
      <w:r w:rsidRPr="00B637F2">
        <w:t>būvspeciālistu</w:t>
      </w:r>
      <w:proofErr w:type="spellEnd"/>
      <w:r w:rsidRPr="00B637F2">
        <w:t xml:space="preserve"> profesionālās civiltiesiskās atbildības obligātās apdrošināšanas polises kopijas, kuri veic atbildīgā būvdarbu vadītāja, atbildīgā būvuzrauga vai atbildīgā </w:t>
      </w:r>
      <w:proofErr w:type="spellStart"/>
      <w:r w:rsidRPr="00B637F2">
        <w:t>autoruzrauga</w:t>
      </w:r>
      <w:proofErr w:type="spellEnd"/>
      <w:r w:rsidRPr="00B637F2">
        <w:t xml:space="preserve"> pienākumus, un apliecinājumu par prēmijas samaksu). Sk. Speciālo noteikumu 8.1.apakšpunktu [Darbu uzsākšana].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72" w:rsidRDefault="00475372">
    <w:pPr>
      <w:pStyle w:val="Header"/>
    </w:pPr>
    <w:r>
      <w:rPr>
        <w:rFonts w:ascii="Verdana" w:hAnsi="Verdana"/>
        <w:b/>
        <w:bCs/>
        <w:noProof/>
        <w:color w:val="0D3D91"/>
        <w:sz w:val="17"/>
        <w:szCs w:val="17"/>
      </w:rPr>
      <w:drawing>
        <wp:inline distT="0" distB="0" distL="0" distR="0" wp14:anchorId="046CBE4E" wp14:editId="5ACD7C18">
          <wp:extent cx="563880" cy="388620"/>
          <wp:effectExtent l="0" t="0" r="7620" b="0"/>
          <wp:docPr id="7" name="Picture 7" descr="es_fla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_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1E82AE" wp14:editId="65881E82">
          <wp:extent cx="685800" cy="363220"/>
          <wp:effectExtent l="0" t="0" r="0" b="0"/>
          <wp:docPr id="8" name="Picture 4" descr="logo 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073E24" wp14:editId="5AE7A78B">
          <wp:extent cx="838200" cy="396240"/>
          <wp:effectExtent l="0" t="0" r="0" b="3810"/>
          <wp:docPr id="9" name="Picture 9" descr="ERAF_pil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AF_piln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7791"/>
      <w:gridCol w:w="515"/>
    </w:tblGrid>
    <w:tr w:rsidR="00475372" w:rsidRPr="0026239E" w:rsidTr="00DC2A05">
      <w:tc>
        <w:tcPr>
          <w:tcW w:w="7797" w:type="dxa"/>
        </w:tcPr>
        <w:p w:rsidR="00475372" w:rsidRDefault="00475372" w:rsidP="00475372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475372" w:rsidRDefault="00475372" w:rsidP="00475372">
          <w:pPr>
            <w:pStyle w:val="Header"/>
            <w:rPr>
              <w:rFonts w:ascii="Arial" w:hAnsi="Arial" w:cs="Arial"/>
              <w:sz w:val="16"/>
              <w:szCs w:val="16"/>
            </w:rPr>
          </w:pPr>
          <w:smartTag w:uri="schemas-tilde-lv/tildestengine" w:element="veidnes">
            <w:smartTagPr>
              <w:attr w:name="id" w:val="-1"/>
              <w:attr w:name="baseform" w:val="nolikums"/>
              <w:attr w:name="text" w:val="nolikums"/>
            </w:smartTagPr>
            <w:r w:rsidRPr="0026239E">
              <w:rPr>
                <w:rFonts w:ascii="Arial" w:hAnsi="Arial" w:cs="Arial"/>
                <w:sz w:val="16"/>
                <w:szCs w:val="16"/>
              </w:rPr>
              <w:t>Nolikums</w:t>
            </w:r>
          </w:smartTag>
          <w:r w:rsidRPr="0026239E">
            <w:rPr>
              <w:rFonts w:ascii="Arial" w:hAnsi="Arial" w:cs="Arial"/>
              <w:sz w:val="16"/>
              <w:szCs w:val="16"/>
            </w:rPr>
            <w:t>. Būvdarbi NS-1</w:t>
          </w:r>
        </w:p>
        <w:p w:rsidR="00475372" w:rsidRPr="0026239E" w:rsidRDefault="00475372" w:rsidP="0047537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“Kanalizācijas un ūdensapgādes tīklu paplašināšana Jelgavas pilsētā (1.-6.posms)”,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id.Nr.KF</w:t>
          </w:r>
          <w:proofErr w:type="spellEnd"/>
          <w:r>
            <w:rPr>
              <w:rFonts w:ascii="Arial" w:hAnsi="Arial" w:cs="Arial"/>
              <w:sz w:val="16"/>
              <w:szCs w:val="16"/>
            </w:rPr>
            <w:t>/PĪG/2015/01</w:t>
          </w:r>
        </w:p>
      </w:tc>
      <w:tc>
        <w:tcPr>
          <w:tcW w:w="515" w:type="dxa"/>
        </w:tcPr>
        <w:p w:rsidR="00475372" w:rsidRPr="0026239E" w:rsidRDefault="00475372" w:rsidP="00475372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75372" w:rsidRDefault="00475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1189"/>
    <w:multiLevelType w:val="multilevel"/>
    <w:tmpl w:val="4EF453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72"/>
    <w:rsid w:val="00475372"/>
    <w:rsid w:val="008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04F4-7661-4EE1-A61C-2557745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s">
    <w:name w:val="Punkts"/>
    <w:basedOn w:val="Normal"/>
    <w:next w:val="Apakpunkts"/>
    <w:rsid w:val="00475372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475372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475372"/>
    <w:pPr>
      <w:numPr>
        <w:ilvl w:val="2"/>
        <w:numId w:val="1"/>
      </w:numPr>
      <w:jc w:val="both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475372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53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75372"/>
    <w:rPr>
      <w:vertAlign w:val="superscript"/>
    </w:rPr>
  </w:style>
  <w:style w:type="paragraph" w:customStyle="1" w:styleId="Atsauce">
    <w:name w:val="Atsauce"/>
    <w:basedOn w:val="FootnoteText"/>
    <w:rsid w:val="00475372"/>
    <w:rPr>
      <w:rFonts w:ascii="Arial" w:hAnsi="Arial" w:cs="Arial"/>
      <w:sz w:val="16"/>
      <w:szCs w:val="16"/>
    </w:rPr>
  </w:style>
  <w:style w:type="paragraph" w:customStyle="1" w:styleId="nDaa">
    <w:name w:val="nDaļa"/>
    <w:basedOn w:val="Normal"/>
    <w:rsid w:val="00475372"/>
    <w:pPr>
      <w:jc w:val="center"/>
    </w:pPr>
    <w:rPr>
      <w:rFonts w:ascii="Arial" w:hAnsi="Arial" w:cs="Arial"/>
      <w:b/>
      <w:bCs/>
      <w:sz w:val="20"/>
      <w:lang w:eastAsia="en-US"/>
    </w:rPr>
  </w:style>
  <w:style w:type="character" w:customStyle="1" w:styleId="ApakpunktsChar">
    <w:name w:val="Apakšpunkts Char"/>
    <w:link w:val="Apakpunkts"/>
    <w:rsid w:val="00475372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4753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53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7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europa.eu.int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ievas</dc:creator>
  <cp:keywords/>
  <dc:description/>
  <cp:lastModifiedBy>ievas</cp:lastModifiedBy>
  <cp:revision>1</cp:revision>
  <dcterms:created xsi:type="dcterms:W3CDTF">2015-04-21T05:21:00Z</dcterms:created>
  <dcterms:modified xsi:type="dcterms:W3CDTF">2015-04-21T05:24:00Z</dcterms:modified>
</cp:coreProperties>
</file>